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beforeAutospacing="0" w:afterAutospacing="0" w:line="600" w:lineRule="exact"/>
        <w:textAlignment w:val="auto"/>
        <w:outlineLvl w:val="9"/>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附件</w:t>
      </w:r>
      <w:r>
        <w:rPr>
          <w:rFonts w:hint="default" w:ascii="黑体" w:hAnsi="黑体" w:eastAsia="黑体" w:cs="黑体"/>
          <w:b w:val="0"/>
          <w:bCs w:val="0"/>
          <w:color w:val="auto"/>
          <w:sz w:val="32"/>
          <w:szCs w:val="32"/>
        </w:rPr>
        <w:t>4</w:t>
      </w:r>
      <w:bookmarkStart w:id="0" w:name="_GoBack"/>
      <w:bookmarkEnd w:id="0"/>
    </w:p>
    <w:p>
      <w:pPr>
        <w:keepNext w:val="0"/>
        <w:keepLines w:val="0"/>
        <w:pageBreakBefore w:val="0"/>
        <w:kinsoku/>
        <w:wordWrap/>
        <w:overflowPunct/>
        <w:topLinePunct w:val="0"/>
        <w:autoSpaceDE/>
        <w:autoSpaceDN/>
        <w:bidi w:val="0"/>
        <w:adjustRightInd/>
        <w:snapToGrid/>
        <w:spacing w:beforeAutospacing="0" w:afterAutospacing="0" w:line="600" w:lineRule="exact"/>
        <w:textAlignment w:val="auto"/>
        <w:outlineLvl w:val="9"/>
        <w:rPr>
          <w:rFonts w:hint="eastAsia" w:ascii="黑体" w:hAnsi="黑体" w:eastAsia="黑体" w:cs="黑体"/>
          <w:b w:val="0"/>
          <w:bCs w:val="0"/>
          <w:color w:val="auto"/>
          <w:sz w:val="32"/>
          <w:szCs w:val="32"/>
        </w:rPr>
      </w:pPr>
    </w:p>
    <w:p>
      <w:pPr>
        <w:keepNext w:val="0"/>
        <w:keepLines w:val="0"/>
        <w:pageBreakBefore w:val="0"/>
        <w:kinsoku/>
        <w:wordWrap/>
        <w:overflowPunct/>
        <w:topLinePunct w:val="0"/>
        <w:autoSpaceDE/>
        <w:autoSpaceDN/>
        <w:bidi w:val="0"/>
        <w:adjustRightInd/>
        <w:snapToGrid/>
        <w:spacing w:beforeAutospacing="0" w:afterAutospacing="0" w:line="600" w:lineRule="exact"/>
        <w:jc w:val="center"/>
        <w:textAlignment w:val="auto"/>
        <w:outlineLvl w:val="9"/>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中华人民共和国工业和信息化部 国家发展改革委 财政部 国家税务总局公告</w:t>
      </w:r>
    </w:p>
    <w:p>
      <w:pPr>
        <w:keepNext w:val="0"/>
        <w:keepLines w:val="0"/>
        <w:pageBreakBefore w:val="0"/>
        <w:kinsoku/>
        <w:wordWrap/>
        <w:overflowPunct/>
        <w:topLinePunct w:val="0"/>
        <w:autoSpaceDE/>
        <w:autoSpaceDN/>
        <w:bidi w:val="0"/>
        <w:adjustRightInd/>
        <w:snapToGrid/>
        <w:spacing w:beforeAutospacing="0" w:afterAutospacing="0" w:line="600" w:lineRule="exact"/>
        <w:jc w:val="center"/>
        <w:textAlignment w:val="auto"/>
        <w:outlineLvl w:val="9"/>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2021年第10号</w:t>
      </w:r>
    </w:p>
    <w:p>
      <w:pPr>
        <w:keepNext w:val="0"/>
        <w:keepLines w:val="0"/>
        <w:pageBreakBefore w:val="0"/>
        <w:kinsoku/>
        <w:wordWrap/>
        <w:overflowPunct/>
        <w:topLinePunct w:val="0"/>
        <w:autoSpaceDE/>
        <w:autoSpaceDN/>
        <w:bidi w:val="0"/>
        <w:adjustRightInd/>
        <w:snapToGrid/>
        <w:spacing w:beforeAutospacing="0" w:afterAutospacing="0" w:line="600" w:lineRule="exact"/>
        <w:textAlignment w:val="auto"/>
        <w:outlineLvl w:val="9"/>
        <w:rPr>
          <w:rFonts w:hint="eastAsia" w:ascii="仿宋_GB2312" w:hAnsi="仿宋_GB2312" w:eastAsia="仿宋_GB2312" w:cs="仿宋_GB2312"/>
          <w:color w:val="auto"/>
          <w:sz w:val="32"/>
          <w:szCs w:val="32"/>
        </w:rPr>
      </w:pPr>
    </w:p>
    <w:p>
      <w:pPr>
        <w:keepNext w:val="0"/>
        <w:keepLines w:val="0"/>
        <w:pageBreakBefore w:val="0"/>
        <w:kinsoku/>
        <w:wordWrap/>
        <w:overflowPunct/>
        <w:topLinePunct w:val="0"/>
        <w:autoSpaceDE/>
        <w:autoSpaceDN/>
        <w:bidi w:val="0"/>
        <w:adjustRightInd/>
        <w:snapToGrid/>
        <w:spacing w:beforeAutospacing="0" w:afterAutospacing="0" w:line="600" w:lineRule="exact"/>
        <w:textAlignment w:val="auto"/>
        <w:outlineLvl w:val="9"/>
        <w:rPr>
          <w:rFonts w:hint="eastAsia" w:ascii="仿宋_GB2312" w:hAnsi="仿宋_GB2312" w:eastAsia="仿宋_GB2312" w:cs="仿宋_GB2312"/>
          <w:color w:val="auto"/>
          <w:sz w:val="32"/>
          <w:szCs w:val="32"/>
        </w:rPr>
      </w:pPr>
      <w:r>
        <w:rPr>
          <w:rFonts w:hint="default"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rPr>
        <w:t>为贯彻落实《国务院关于印发新时期促进集成电路产业和软件产业高质量发展若干政策的通知》（国发〔2020〕8号）精神，根据《关于促进集成电路产业和软件产业高质量发展企业所得税的公告》（财政部  税务总局  国家发展改革委  工业和信息化部公告2020年第45号），工业和信息化部、国家发展改革委、财政部、税务总局制定了国家鼓励的软件企业条件，现公告如下：</w:t>
      </w:r>
    </w:p>
    <w:p>
      <w:pPr>
        <w:keepNext w:val="0"/>
        <w:keepLines w:val="0"/>
        <w:pageBreakBefore w:val="0"/>
        <w:kinsoku/>
        <w:wordWrap/>
        <w:overflowPunct/>
        <w:topLinePunct w:val="0"/>
        <w:autoSpaceDE/>
        <w:autoSpaceDN/>
        <w:bidi w:val="0"/>
        <w:adjustRightInd/>
        <w:snapToGrid/>
        <w:spacing w:beforeAutospacing="0" w:afterAutospacing="0" w:line="600" w:lineRule="exact"/>
        <w:textAlignment w:val="auto"/>
        <w:outlineLvl w:val="9"/>
        <w:rPr>
          <w:rFonts w:hint="eastAsia" w:ascii="仿宋_GB2312" w:hAnsi="仿宋_GB2312" w:eastAsia="仿宋_GB2312" w:cs="仿宋_GB2312"/>
          <w:color w:val="auto"/>
          <w:sz w:val="32"/>
          <w:szCs w:val="32"/>
        </w:rPr>
      </w:pPr>
      <w:r>
        <w:rPr>
          <w:rFonts w:hint="default"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rPr>
        <w:t>一、国家鼓励的软件企业是指同时符合下列条件的企业：</w:t>
      </w:r>
    </w:p>
    <w:p>
      <w:pPr>
        <w:keepNext w:val="0"/>
        <w:keepLines w:val="0"/>
        <w:pageBreakBefore w:val="0"/>
        <w:kinsoku/>
        <w:wordWrap/>
        <w:overflowPunct/>
        <w:topLinePunct w:val="0"/>
        <w:autoSpaceDE/>
        <w:autoSpaceDN/>
        <w:bidi w:val="0"/>
        <w:adjustRightInd/>
        <w:snapToGrid/>
        <w:spacing w:beforeAutospacing="0" w:afterAutospacing="0" w:line="600" w:lineRule="exact"/>
        <w:textAlignment w:val="auto"/>
        <w:outlineLvl w:val="9"/>
        <w:rPr>
          <w:rFonts w:hint="eastAsia" w:ascii="仿宋_GB2312" w:hAnsi="仿宋_GB2312" w:eastAsia="仿宋_GB2312" w:cs="仿宋_GB2312"/>
          <w:color w:val="auto"/>
          <w:sz w:val="32"/>
          <w:szCs w:val="32"/>
        </w:rPr>
      </w:pPr>
      <w:r>
        <w:rPr>
          <w:rFonts w:hint="default"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rPr>
        <w:t>（一）在中国境内（不包括港、澳、台地区）依法设立，以软件产品开发及相关信息技术服务为主营业务并具有独立法人资格的企业；该企业的设立具有合理商业目的，且不以减少、免除或推迟缴纳税款为主要目的；</w:t>
      </w:r>
    </w:p>
    <w:p>
      <w:pPr>
        <w:keepNext w:val="0"/>
        <w:keepLines w:val="0"/>
        <w:pageBreakBefore w:val="0"/>
        <w:kinsoku/>
        <w:wordWrap/>
        <w:overflowPunct/>
        <w:topLinePunct w:val="0"/>
        <w:autoSpaceDE/>
        <w:autoSpaceDN/>
        <w:bidi w:val="0"/>
        <w:adjustRightInd/>
        <w:snapToGrid/>
        <w:spacing w:beforeAutospacing="0" w:afterAutospacing="0" w:line="600" w:lineRule="exact"/>
        <w:textAlignment w:val="auto"/>
        <w:outlineLvl w:val="9"/>
        <w:rPr>
          <w:rFonts w:hint="eastAsia" w:ascii="仿宋_GB2312" w:hAnsi="仿宋_GB2312" w:eastAsia="仿宋_GB2312" w:cs="仿宋_GB2312"/>
          <w:color w:val="auto"/>
          <w:sz w:val="32"/>
          <w:szCs w:val="32"/>
        </w:rPr>
      </w:pPr>
      <w:r>
        <w:rPr>
          <w:rFonts w:hint="default"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rPr>
        <w:t>（二）汇算清缴年度具有劳动合同关系或劳务派遣、聘用关系，其中具有本科及以上学历的月平均职工人数占企业月平均职工总人数的比例不低于40%，研究开发人员月平均数占企业月平均职工总数的比例不低于25%；</w:t>
      </w:r>
    </w:p>
    <w:p>
      <w:pPr>
        <w:keepNext w:val="0"/>
        <w:keepLines w:val="0"/>
        <w:pageBreakBefore w:val="0"/>
        <w:kinsoku/>
        <w:wordWrap/>
        <w:overflowPunct/>
        <w:topLinePunct w:val="0"/>
        <w:autoSpaceDE/>
        <w:autoSpaceDN/>
        <w:bidi w:val="0"/>
        <w:adjustRightInd/>
        <w:snapToGrid/>
        <w:spacing w:beforeAutospacing="0" w:afterAutospacing="0" w:line="600" w:lineRule="exact"/>
        <w:textAlignment w:val="auto"/>
        <w:outlineLvl w:val="9"/>
        <w:rPr>
          <w:rFonts w:hint="eastAsia" w:ascii="仿宋_GB2312" w:hAnsi="仿宋_GB2312" w:eastAsia="仿宋_GB2312" w:cs="仿宋_GB2312"/>
          <w:color w:val="auto"/>
          <w:sz w:val="32"/>
          <w:szCs w:val="32"/>
        </w:rPr>
      </w:pPr>
      <w:r>
        <w:rPr>
          <w:rFonts w:hint="default"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rPr>
        <w:t>（三）拥有核心关键技术，并以此为基础开展经营活动，汇算清缴年度研究开发费用总额占企业销售（营业）收入总额的比例不低于7%，企业在中国境内发生的研究开发费用金额占研究开发费用总额的比例不低于60%；</w:t>
      </w:r>
    </w:p>
    <w:p>
      <w:pPr>
        <w:keepNext w:val="0"/>
        <w:keepLines w:val="0"/>
        <w:pageBreakBefore w:val="0"/>
        <w:kinsoku/>
        <w:wordWrap/>
        <w:overflowPunct/>
        <w:topLinePunct w:val="0"/>
        <w:autoSpaceDE/>
        <w:autoSpaceDN/>
        <w:bidi w:val="0"/>
        <w:adjustRightInd/>
        <w:snapToGrid/>
        <w:spacing w:beforeAutospacing="0" w:afterAutospacing="0" w:line="600" w:lineRule="exact"/>
        <w:textAlignment w:val="auto"/>
        <w:outlineLvl w:val="9"/>
        <w:rPr>
          <w:rFonts w:hint="eastAsia" w:ascii="仿宋_GB2312" w:hAnsi="仿宋_GB2312" w:eastAsia="仿宋_GB2312" w:cs="仿宋_GB2312"/>
          <w:color w:val="auto"/>
          <w:sz w:val="32"/>
          <w:szCs w:val="32"/>
        </w:rPr>
      </w:pPr>
      <w:r>
        <w:rPr>
          <w:rFonts w:hint="default"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rPr>
        <w:t>（四）汇算清缴年度软件产品开发销售及相关信息技术服务（营业）收入占企业收入总额的比例不低于55%[嵌入式软件产品开发销售（营业）收入占企业收入总额的比例不低于45%]，其中软件产品自主开发销售及相关信息技术服务（营业）收入占企业收入总额的比例不低于45%[嵌入式软件产品开发销售（营业）收入占企业收入总额的比例不低于40%]；</w:t>
      </w:r>
    </w:p>
    <w:p>
      <w:pPr>
        <w:keepNext w:val="0"/>
        <w:keepLines w:val="0"/>
        <w:pageBreakBefore w:val="0"/>
        <w:kinsoku/>
        <w:wordWrap/>
        <w:overflowPunct/>
        <w:topLinePunct w:val="0"/>
        <w:autoSpaceDE/>
        <w:autoSpaceDN/>
        <w:bidi w:val="0"/>
        <w:adjustRightInd/>
        <w:snapToGrid/>
        <w:spacing w:beforeAutospacing="0" w:afterAutospacing="0" w:line="600" w:lineRule="exact"/>
        <w:textAlignment w:val="auto"/>
        <w:outlineLvl w:val="9"/>
        <w:rPr>
          <w:rFonts w:hint="eastAsia" w:ascii="仿宋_GB2312" w:hAnsi="仿宋_GB2312" w:eastAsia="仿宋_GB2312" w:cs="仿宋_GB2312"/>
          <w:color w:val="auto"/>
          <w:sz w:val="32"/>
          <w:szCs w:val="32"/>
        </w:rPr>
      </w:pPr>
      <w:r>
        <w:rPr>
          <w:rFonts w:hint="default"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rPr>
        <w:t>（五）主营业务或主要产品具有专利或计算机软件著作权等属于本企业的知识产权；</w:t>
      </w:r>
    </w:p>
    <w:p>
      <w:pPr>
        <w:keepNext w:val="0"/>
        <w:keepLines w:val="0"/>
        <w:pageBreakBefore w:val="0"/>
        <w:kinsoku/>
        <w:wordWrap/>
        <w:overflowPunct/>
        <w:topLinePunct w:val="0"/>
        <w:autoSpaceDE/>
        <w:autoSpaceDN/>
        <w:bidi w:val="0"/>
        <w:adjustRightInd/>
        <w:snapToGrid/>
        <w:spacing w:beforeAutospacing="0" w:afterAutospacing="0" w:line="600" w:lineRule="exact"/>
        <w:textAlignment w:val="auto"/>
        <w:outlineLvl w:val="9"/>
        <w:rPr>
          <w:rFonts w:hint="eastAsia" w:ascii="仿宋_GB2312" w:hAnsi="仿宋_GB2312" w:eastAsia="仿宋_GB2312" w:cs="仿宋_GB2312"/>
          <w:color w:val="auto"/>
          <w:sz w:val="32"/>
          <w:szCs w:val="32"/>
        </w:rPr>
      </w:pPr>
      <w:r>
        <w:rPr>
          <w:rFonts w:hint="default"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rPr>
        <w:t>（六）具有与软件开发相适应的生产经营场所、软硬件设施等开发环境（如合法的开发工具等），建立符合软件工程要求的质量管理体系并持续有效运行；</w:t>
      </w:r>
    </w:p>
    <w:p>
      <w:pPr>
        <w:keepNext w:val="0"/>
        <w:keepLines w:val="0"/>
        <w:pageBreakBefore w:val="0"/>
        <w:kinsoku/>
        <w:wordWrap/>
        <w:overflowPunct/>
        <w:topLinePunct w:val="0"/>
        <w:autoSpaceDE/>
        <w:autoSpaceDN/>
        <w:bidi w:val="0"/>
        <w:adjustRightInd/>
        <w:snapToGrid/>
        <w:spacing w:beforeAutospacing="0" w:afterAutospacing="0" w:line="600" w:lineRule="exact"/>
        <w:textAlignment w:val="auto"/>
        <w:outlineLvl w:val="9"/>
        <w:rPr>
          <w:rFonts w:hint="eastAsia" w:ascii="仿宋_GB2312" w:hAnsi="仿宋_GB2312" w:eastAsia="仿宋_GB2312" w:cs="仿宋_GB2312"/>
          <w:color w:val="auto"/>
          <w:sz w:val="32"/>
          <w:szCs w:val="32"/>
        </w:rPr>
      </w:pPr>
      <w:r>
        <w:rPr>
          <w:rFonts w:hint="default"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rPr>
        <w:t>（七）汇算清缴年度未发生重大安全事故、重大质量事故、知识产权侵权等行为，企业合法经营。</w:t>
      </w:r>
    </w:p>
    <w:p>
      <w:pPr>
        <w:keepNext w:val="0"/>
        <w:keepLines w:val="0"/>
        <w:pageBreakBefore w:val="0"/>
        <w:kinsoku/>
        <w:wordWrap/>
        <w:overflowPunct/>
        <w:topLinePunct w:val="0"/>
        <w:autoSpaceDE/>
        <w:autoSpaceDN/>
        <w:bidi w:val="0"/>
        <w:adjustRightInd/>
        <w:snapToGrid/>
        <w:spacing w:beforeAutospacing="0" w:afterAutospacing="0" w:line="600" w:lineRule="exact"/>
        <w:textAlignment w:val="auto"/>
        <w:outlineLvl w:val="9"/>
        <w:rPr>
          <w:rFonts w:hint="eastAsia" w:ascii="仿宋_GB2312" w:hAnsi="仿宋_GB2312" w:eastAsia="仿宋_GB2312" w:cs="仿宋_GB2312"/>
          <w:color w:val="auto"/>
          <w:sz w:val="32"/>
          <w:szCs w:val="32"/>
        </w:rPr>
      </w:pPr>
      <w:r>
        <w:rPr>
          <w:rFonts w:hint="default"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rPr>
        <w:t>二、本公告第一条中所称研究开发费用政策口径，按照《财政部  国家税务总局  科技部关于完善研究开发费用税前加计扣除政策的通知》（财税〔2015〕119号）和《国家税务总局关于研发费用税前加计扣除归集范围有关问题的公告》（国家税务总局公告2017年第40号）等规定执行。</w:t>
      </w:r>
    </w:p>
    <w:p>
      <w:pPr>
        <w:keepNext w:val="0"/>
        <w:keepLines w:val="0"/>
        <w:pageBreakBefore w:val="0"/>
        <w:kinsoku/>
        <w:wordWrap/>
        <w:overflowPunct/>
        <w:topLinePunct w:val="0"/>
        <w:autoSpaceDE/>
        <w:autoSpaceDN/>
        <w:bidi w:val="0"/>
        <w:adjustRightInd/>
        <w:snapToGrid/>
        <w:spacing w:beforeAutospacing="0" w:afterAutospacing="0" w:line="600" w:lineRule="exact"/>
        <w:textAlignment w:val="auto"/>
        <w:outlineLvl w:val="9"/>
        <w:rPr>
          <w:rFonts w:hint="eastAsia" w:ascii="仿宋_GB2312" w:hAnsi="仿宋_GB2312" w:eastAsia="仿宋_GB2312" w:cs="仿宋_GB2312"/>
          <w:color w:val="auto"/>
          <w:sz w:val="32"/>
          <w:szCs w:val="32"/>
        </w:rPr>
      </w:pPr>
      <w:r>
        <w:rPr>
          <w:rFonts w:hint="default"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rPr>
        <w:t>三、本公告自2020年1月1日起执行，由工业和信息化部会同国家发展改革委、财政部、税务总局负责解释。</w:t>
      </w:r>
    </w:p>
    <w:p>
      <w:pPr>
        <w:keepNext w:val="0"/>
        <w:keepLines w:val="0"/>
        <w:pageBreakBefore w:val="0"/>
        <w:kinsoku/>
        <w:wordWrap/>
        <w:overflowPunct/>
        <w:topLinePunct w:val="0"/>
        <w:autoSpaceDE/>
        <w:autoSpaceDN/>
        <w:bidi w:val="0"/>
        <w:adjustRightInd/>
        <w:snapToGrid/>
        <w:spacing w:beforeAutospacing="0" w:afterAutospacing="0" w:line="600" w:lineRule="exact"/>
        <w:textAlignment w:val="auto"/>
        <w:outlineLvl w:val="9"/>
        <w:rPr>
          <w:rFonts w:hint="eastAsia" w:ascii="仿宋_GB2312" w:hAnsi="仿宋_GB2312" w:eastAsia="仿宋_GB2312" w:cs="仿宋_GB2312"/>
          <w:color w:val="auto"/>
          <w:sz w:val="32"/>
          <w:szCs w:val="32"/>
        </w:rPr>
      </w:pPr>
    </w:p>
    <w:p>
      <w:pPr>
        <w:keepNext w:val="0"/>
        <w:keepLines w:val="0"/>
        <w:pageBreakBefore w:val="0"/>
        <w:kinsoku/>
        <w:wordWrap/>
        <w:overflowPunct/>
        <w:topLinePunct w:val="0"/>
        <w:autoSpaceDE/>
        <w:autoSpaceDN/>
        <w:bidi w:val="0"/>
        <w:adjustRightInd/>
        <w:snapToGrid/>
        <w:spacing w:beforeAutospacing="0" w:afterAutospacing="0" w:line="600" w:lineRule="exact"/>
        <w:textAlignment w:val="auto"/>
        <w:outlineLvl w:val="9"/>
        <w:rPr>
          <w:rFonts w:hint="eastAsia" w:ascii="仿宋_GB2312" w:hAnsi="仿宋_GB2312" w:eastAsia="仿宋_GB2312" w:cs="仿宋_GB2312"/>
          <w:color w:val="auto"/>
          <w:sz w:val="32"/>
          <w:szCs w:val="32"/>
        </w:rPr>
      </w:pPr>
    </w:p>
    <w:p>
      <w:pPr>
        <w:keepNext w:val="0"/>
        <w:keepLines w:val="0"/>
        <w:pageBreakBefore w:val="0"/>
        <w:kinsoku/>
        <w:wordWrap/>
        <w:overflowPunct/>
        <w:topLinePunct w:val="0"/>
        <w:autoSpaceDE/>
        <w:autoSpaceDN/>
        <w:bidi w:val="0"/>
        <w:adjustRightInd/>
        <w:snapToGrid/>
        <w:spacing w:beforeAutospacing="0" w:afterAutospacing="0" w:line="600" w:lineRule="exact"/>
        <w:jc w:val="righ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工业和信息化部  </w:t>
      </w:r>
    </w:p>
    <w:p>
      <w:pPr>
        <w:keepNext w:val="0"/>
        <w:keepLines w:val="0"/>
        <w:pageBreakBefore w:val="0"/>
        <w:kinsoku/>
        <w:wordWrap/>
        <w:overflowPunct/>
        <w:topLinePunct w:val="0"/>
        <w:autoSpaceDE/>
        <w:autoSpaceDN/>
        <w:bidi w:val="0"/>
        <w:adjustRightInd/>
        <w:snapToGrid/>
        <w:spacing w:beforeAutospacing="0" w:afterAutospacing="0" w:line="600" w:lineRule="exact"/>
        <w:jc w:val="righ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国家发展改革委  </w:t>
      </w:r>
    </w:p>
    <w:p>
      <w:pPr>
        <w:keepNext w:val="0"/>
        <w:keepLines w:val="0"/>
        <w:pageBreakBefore w:val="0"/>
        <w:kinsoku/>
        <w:wordWrap/>
        <w:overflowPunct/>
        <w:topLinePunct w:val="0"/>
        <w:autoSpaceDE/>
        <w:autoSpaceDN/>
        <w:bidi w:val="0"/>
        <w:adjustRightInd/>
        <w:snapToGrid/>
        <w:spacing w:beforeAutospacing="0" w:afterAutospacing="0" w:line="600" w:lineRule="exact"/>
        <w:jc w:val="righ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财政部      </w:t>
      </w:r>
    </w:p>
    <w:p>
      <w:pPr>
        <w:keepNext w:val="0"/>
        <w:keepLines w:val="0"/>
        <w:pageBreakBefore w:val="0"/>
        <w:kinsoku/>
        <w:wordWrap/>
        <w:overflowPunct/>
        <w:topLinePunct w:val="0"/>
        <w:autoSpaceDE/>
        <w:autoSpaceDN/>
        <w:bidi w:val="0"/>
        <w:adjustRightInd/>
        <w:snapToGrid/>
        <w:spacing w:beforeAutospacing="0" w:afterAutospacing="0" w:line="600" w:lineRule="exact"/>
        <w:jc w:val="righ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国家税务总局   </w:t>
      </w:r>
    </w:p>
    <w:p>
      <w:pPr>
        <w:keepNext w:val="0"/>
        <w:keepLines w:val="0"/>
        <w:pageBreakBefore w:val="0"/>
        <w:kinsoku/>
        <w:wordWrap/>
        <w:overflowPunct/>
        <w:topLinePunct w:val="0"/>
        <w:autoSpaceDE/>
        <w:autoSpaceDN/>
        <w:bidi w:val="0"/>
        <w:adjustRightInd/>
        <w:snapToGrid/>
        <w:spacing w:beforeAutospacing="0" w:afterAutospacing="0" w:line="600" w:lineRule="exact"/>
        <w:jc w:val="righ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2021年4月23日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altName w:val="方正宋体S-超大字符集"/>
    <w:panose1 w:val="02000000000000000000"/>
    <w:charset w:val="86"/>
    <w:family w:val="auto"/>
    <w:pitch w:val="default"/>
    <w:sig w:usb0="00000001" w:usb1="08000000" w:usb2="00000000" w:usb3="00000000" w:csb0="00040000" w:csb1="00000000"/>
  </w:font>
  <w:font w:name="方正黑体_GBK">
    <w:altName w:val="思源黑体 CN"/>
    <w:panose1 w:val="02000000000000000000"/>
    <w:charset w:val="00"/>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黑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0F5ED5"/>
    <w:rsid w:val="247818EC"/>
    <w:rsid w:val="6E1342CF"/>
    <w:rsid w:val="750E249D"/>
    <w:rsid w:val="A9EF61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8FAF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Office_10.1.0.7448_F1E327BC-269C-435d-A152-05C5408002CA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2021-04-29T17:21:00Z</dcterms:created>
  <dc:creator>liangyameng</dc:creator>
  <cp:lastModifiedBy>梁雅萌</cp:lastModifiedBy>
  <dcterms:modified xsi:type="dcterms:W3CDTF">2022-03-24T17:34:09Z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2052-10.1.0.7448</vt:lpwstr>
  </property>
  <property fmtid="{D5CDD505-2E9C-101B-9397-08002B2CF9AE}" pid="3" name="ICV">
    <vt:lpwstr>4BF68867394547898C1D888F7A68DC9F</vt:lpwstr>
  </property>
</Properties>
</file>